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F61241" w:rsidRDefault="003154A2" w:rsidP="00F61241">
      <w:pPr>
        <w:spacing w:before="120" w:after="120" w:line="360" w:lineRule="auto"/>
        <w:jc w:val="center"/>
        <w:rPr>
          <w:rFonts w:ascii="Arial" w:hAnsi="Arial" w:cs="Arial"/>
          <w:sz w:val="28"/>
          <w:szCs w:val="28"/>
        </w:rPr>
      </w:pPr>
      <w:r w:rsidRPr="00F61241">
        <w:rPr>
          <w:rFonts w:ascii="Arial" w:hAnsi="Arial" w:cs="Arial"/>
          <w:b/>
          <w:sz w:val="28"/>
          <w:szCs w:val="28"/>
        </w:rPr>
        <w:t xml:space="preserve">PROGRAMA </w:t>
      </w:r>
      <w:r w:rsidR="009354E3" w:rsidRPr="00F61241">
        <w:rPr>
          <w:rFonts w:ascii="Arial" w:hAnsi="Arial" w:cs="Arial"/>
          <w:b/>
          <w:sz w:val="28"/>
          <w:szCs w:val="28"/>
        </w:rPr>
        <w:t>41C</w:t>
      </w:r>
      <w:r w:rsidR="00DC0CD9" w:rsidRPr="00F61241">
        <w:rPr>
          <w:rFonts w:ascii="Arial" w:hAnsi="Arial" w:cs="Arial"/>
          <w:b/>
          <w:sz w:val="28"/>
          <w:szCs w:val="28"/>
        </w:rPr>
        <w:t>I</w:t>
      </w:r>
    </w:p>
    <w:p w:rsidR="001953F8" w:rsidRPr="00F61241" w:rsidRDefault="001953F8" w:rsidP="00F61241">
      <w:pPr>
        <w:spacing w:before="120" w:after="120" w:line="360" w:lineRule="auto"/>
        <w:jc w:val="center"/>
        <w:rPr>
          <w:rFonts w:ascii="Arial" w:hAnsi="Arial" w:cs="Arial"/>
          <w:b/>
          <w:sz w:val="26"/>
          <w:szCs w:val="26"/>
          <w:lang w:val="es-ES"/>
        </w:rPr>
      </w:pPr>
      <w:r w:rsidRPr="00F61241">
        <w:rPr>
          <w:rFonts w:ascii="Arial" w:hAnsi="Arial" w:cs="Arial"/>
          <w:b/>
          <w:sz w:val="26"/>
          <w:szCs w:val="26"/>
        </w:rPr>
        <w:t>C</w:t>
      </w:r>
      <w:r w:rsidR="00947093" w:rsidRPr="00F61241">
        <w:rPr>
          <w:rFonts w:ascii="Arial" w:hAnsi="Arial" w:cs="Arial"/>
          <w:b/>
          <w:sz w:val="26"/>
          <w:szCs w:val="26"/>
        </w:rPr>
        <w:t>0</w:t>
      </w:r>
      <w:r w:rsidRPr="00F61241">
        <w:rPr>
          <w:rFonts w:ascii="Arial" w:hAnsi="Arial" w:cs="Arial"/>
          <w:b/>
          <w:sz w:val="26"/>
          <w:szCs w:val="26"/>
        </w:rPr>
        <w:t>3</w:t>
      </w:r>
      <w:r w:rsidR="00D8168F" w:rsidRPr="00F61241">
        <w:rPr>
          <w:rFonts w:ascii="Arial" w:hAnsi="Arial" w:cs="Arial"/>
          <w:b/>
          <w:sz w:val="26"/>
          <w:szCs w:val="26"/>
        </w:rPr>
        <w:t xml:space="preserve"> </w:t>
      </w:r>
      <w:r w:rsidRPr="00F61241">
        <w:rPr>
          <w:rFonts w:ascii="Arial" w:hAnsi="Arial" w:cs="Arial"/>
          <w:b/>
          <w:sz w:val="26"/>
          <w:szCs w:val="26"/>
        </w:rPr>
        <w:t>I</w:t>
      </w:r>
      <w:r w:rsidR="00947093" w:rsidRPr="00F61241">
        <w:rPr>
          <w:rFonts w:ascii="Arial" w:hAnsi="Arial" w:cs="Arial"/>
          <w:b/>
          <w:sz w:val="26"/>
          <w:szCs w:val="26"/>
        </w:rPr>
        <w:t>0</w:t>
      </w:r>
      <w:r w:rsidRPr="00F61241">
        <w:rPr>
          <w:rFonts w:ascii="Arial" w:hAnsi="Arial" w:cs="Arial"/>
          <w:b/>
          <w:sz w:val="26"/>
          <w:szCs w:val="26"/>
        </w:rPr>
        <w:t>9</w:t>
      </w:r>
      <w:r w:rsidR="00DC0CD9" w:rsidRPr="00F61241">
        <w:rPr>
          <w:rFonts w:ascii="Arial" w:hAnsi="Arial" w:cs="Arial"/>
          <w:b/>
          <w:sz w:val="26"/>
          <w:szCs w:val="26"/>
        </w:rPr>
        <w:t xml:space="preserve"> </w:t>
      </w:r>
      <w:r w:rsidRPr="00F61241">
        <w:rPr>
          <w:rFonts w:ascii="Arial" w:hAnsi="Arial" w:cs="Arial"/>
          <w:b/>
          <w:sz w:val="26"/>
          <w:szCs w:val="26"/>
          <w:lang w:val="es-ES"/>
        </w:rPr>
        <w:t>PLAN DE IMPULSO A LA SOSTENIBILIDAD, INVESTIGACIÓN, INNOVACIÓN Y DIGITALIZACIÓN DEL SECTOR PESQUERO (IV): DIGITALIZACIÓN Y USO DE TICS EN EL SECTOR PESQUERO.</w:t>
      </w:r>
    </w:p>
    <w:p w:rsidR="00517824" w:rsidRDefault="00F906CF" w:rsidP="00F61241">
      <w:pPr>
        <w:spacing w:before="120" w:after="120" w:line="360" w:lineRule="auto"/>
        <w:rPr>
          <w:rFonts w:ascii="Arial" w:hAnsi="Arial" w:cs="Arial"/>
          <w:b/>
          <w:sz w:val="22"/>
          <w:szCs w:val="22"/>
        </w:rPr>
      </w:pPr>
      <w:r>
        <w:rPr>
          <w:rFonts w:ascii="Arial" w:hAnsi="Arial" w:cs="Arial"/>
          <w:b/>
          <w:sz w:val="22"/>
          <w:szCs w:val="22"/>
        </w:rPr>
        <w:t xml:space="preserve">1. </w:t>
      </w:r>
      <w:r w:rsidR="00A236C9">
        <w:rPr>
          <w:rFonts w:ascii="Arial" w:hAnsi="Arial" w:cs="Arial"/>
          <w:b/>
          <w:sz w:val="22"/>
          <w:szCs w:val="22"/>
        </w:rPr>
        <w:t>DENOMINACIÓN DEL COMPONENTE</w:t>
      </w:r>
    </w:p>
    <w:p w:rsidR="00D8168F" w:rsidRPr="000B6242" w:rsidRDefault="00D8168F" w:rsidP="00F61241">
      <w:pPr>
        <w:spacing w:before="120" w:after="120" w:line="360" w:lineRule="auto"/>
        <w:ind w:firstLine="709"/>
        <w:rPr>
          <w:rFonts w:ascii="Arial" w:hAnsi="Arial" w:cs="Arial"/>
          <w:sz w:val="22"/>
          <w:szCs w:val="22"/>
        </w:rPr>
      </w:pPr>
      <w:r w:rsidRPr="000B6242">
        <w:rPr>
          <w:rFonts w:ascii="Arial" w:hAnsi="Arial" w:cs="Arial"/>
          <w:sz w:val="22"/>
          <w:szCs w:val="22"/>
        </w:rPr>
        <w:t>Transformación ambiental y digital del sector agroalimentario y pesquero</w:t>
      </w:r>
      <w:r>
        <w:rPr>
          <w:rFonts w:ascii="Arial" w:hAnsi="Arial" w:cs="Arial"/>
          <w:sz w:val="22"/>
          <w:szCs w:val="22"/>
        </w:rPr>
        <w:t>.</w:t>
      </w:r>
    </w:p>
    <w:p w:rsidR="00517824" w:rsidRPr="00B00AC0" w:rsidRDefault="00517824" w:rsidP="00F61241">
      <w:pPr>
        <w:spacing w:before="120" w:after="120" w:line="360" w:lineRule="auto"/>
        <w:rPr>
          <w:rFonts w:ascii="Arial" w:hAnsi="Arial" w:cs="Arial"/>
          <w:b/>
          <w:sz w:val="22"/>
          <w:szCs w:val="22"/>
        </w:rPr>
      </w:pPr>
      <w:r w:rsidRPr="00B00AC0">
        <w:rPr>
          <w:rFonts w:ascii="Arial" w:hAnsi="Arial" w:cs="Arial"/>
          <w:b/>
          <w:sz w:val="22"/>
          <w:szCs w:val="22"/>
        </w:rPr>
        <w:t xml:space="preserve">2. </w:t>
      </w:r>
      <w:r w:rsidR="00A236C9" w:rsidRPr="00B00AC0">
        <w:rPr>
          <w:rFonts w:ascii="Arial" w:hAnsi="Arial" w:cs="Arial"/>
          <w:b/>
          <w:sz w:val="22"/>
          <w:szCs w:val="22"/>
        </w:rPr>
        <w:t>DES</w:t>
      </w:r>
      <w:r w:rsidR="00A236C9">
        <w:rPr>
          <w:rFonts w:ascii="Arial" w:hAnsi="Arial" w:cs="Arial"/>
          <w:b/>
          <w:sz w:val="22"/>
          <w:szCs w:val="22"/>
        </w:rPr>
        <w:t>CRIPCIÓN GENERAL DEL COMPONENTE</w:t>
      </w:r>
    </w:p>
    <w:p w:rsidR="00412A34" w:rsidRPr="00B00AC0" w:rsidRDefault="00412A34"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 xml:space="preserve">El sector agroalimentario y el sector pesquero revisten una gran importancia económica y social en España, ya que suponen el 11% del PIB, ocupan a más de 2,6 millones de personas, y tienen la misión estratégica de proporcionar seguridad alimentaria a la población. Además, son sectores fundamentales para afrontar el reto demográfico y la lucha contra la despoblación, el equilibrio territorial y para la balanza comercial, con unas exportaciones que superan los 53.700 millones de euros y un saldo positivo de 14.600 millones. </w:t>
      </w:r>
    </w:p>
    <w:p w:rsidR="00412A34" w:rsidRPr="00B00AC0" w:rsidRDefault="00412A34"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Sin embargo, este sector presenta serias amenazas que están erosionando su competitividad: una insuficiente capitalización de las empresas, agravada como consecuencia de la crisis sanitaria; un déficit de inversión en investigación, desarrollo e innovación; un retraso en la incorporación de tecnologías digitales, y una mayor exposición a los riesgos derivados del cambio climático y de las enfermedades emergentes.</w:t>
      </w:r>
    </w:p>
    <w:p w:rsidR="00C17263" w:rsidRDefault="00412A34" w:rsidP="00F61241">
      <w:pPr>
        <w:spacing w:before="120" w:after="120" w:line="360" w:lineRule="auto"/>
        <w:jc w:val="both"/>
        <w:rPr>
          <w:rFonts w:ascii="Arial" w:hAnsi="Arial" w:cs="Arial"/>
          <w:sz w:val="22"/>
          <w:szCs w:val="22"/>
        </w:rPr>
      </w:pPr>
      <w:r w:rsidRPr="00B00AC0">
        <w:rPr>
          <w:rFonts w:ascii="Arial" w:hAnsi="Arial" w:cs="Arial"/>
          <w:sz w:val="22"/>
          <w:szCs w:val="22"/>
        </w:rPr>
        <w:t xml:space="preserve">Para responder a estos retos se programan una serie de inversiones que contribuirán decisivamente a mejorar la resiliencia del sector y a la mejora de su competitividad, al tiempo que contribuyen a la consecución de los objetivos del clima, a la conservación del medio ambiente y a la </w:t>
      </w:r>
      <w:proofErr w:type="spellStart"/>
      <w:r w:rsidRPr="00B00AC0">
        <w:rPr>
          <w:rFonts w:ascii="Arial" w:hAnsi="Arial" w:cs="Arial"/>
          <w:sz w:val="22"/>
          <w:szCs w:val="22"/>
        </w:rPr>
        <w:t>descarbonización</w:t>
      </w:r>
      <w:proofErr w:type="spellEnd"/>
      <w:r w:rsidRPr="00B00AC0">
        <w:rPr>
          <w:rFonts w:ascii="Arial" w:hAnsi="Arial" w:cs="Arial"/>
          <w:sz w:val="22"/>
          <w:szCs w:val="22"/>
        </w:rPr>
        <w:t xml:space="preserve"> de la economía.</w:t>
      </w:r>
    </w:p>
    <w:p w:rsidR="00517824" w:rsidRPr="00B00AC0" w:rsidRDefault="00517824" w:rsidP="00F61241">
      <w:pPr>
        <w:spacing w:before="120" w:after="120" w:line="360" w:lineRule="auto"/>
        <w:rPr>
          <w:rFonts w:ascii="Arial" w:hAnsi="Arial" w:cs="Arial"/>
          <w:b/>
          <w:sz w:val="22"/>
          <w:szCs w:val="22"/>
        </w:rPr>
      </w:pPr>
      <w:r w:rsidRPr="00B00AC0">
        <w:rPr>
          <w:rFonts w:ascii="Arial" w:hAnsi="Arial" w:cs="Arial"/>
          <w:b/>
          <w:sz w:val="22"/>
          <w:szCs w:val="22"/>
        </w:rPr>
        <w:t xml:space="preserve">3. </w:t>
      </w:r>
      <w:r w:rsidR="00A236C9" w:rsidRPr="00B00AC0">
        <w:rPr>
          <w:rFonts w:ascii="Arial" w:hAnsi="Arial" w:cs="Arial"/>
          <w:b/>
          <w:sz w:val="22"/>
          <w:szCs w:val="22"/>
        </w:rPr>
        <w:t>PRINC</w:t>
      </w:r>
      <w:r w:rsidR="00A236C9">
        <w:rPr>
          <w:rFonts w:ascii="Arial" w:hAnsi="Arial" w:cs="Arial"/>
          <w:b/>
          <w:sz w:val="22"/>
          <w:szCs w:val="22"/>
        </w:rPr>
        <w:t>IPALES OBJETIVOS DEL COMPONENTE</w:t>
      </w:r>
    </w:p>
    <w:p w:rsidR="00412A34" w:rsidRPr="00B00AC0" w:rsidRDefault="00412A34"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 xml:space="preserve">En el ámbito del sector agroalimentario las inversiones programadas tienen como objetivos mejorar las capacidades de lucha contra las enfermedades de los animales y las plantas, a través del refuerzo de los laboratorios oficiales del Ministerio y apoyando las inversiones de las empresas privadas en la mejora de la bioseguridad de las explotaciones, lo que además permitirá reducir el uso de pesticidas y antimicrobianos, en línea con los objetivos de la estrategia “de la granja a la mesa”. Se abordará un plan de inversiones en modernización de regadíos para fomentar el ahorro del agua y la mejora de la eficiencia y la sostenibilidad energética en los regadíos españoles. De esta forma, con estas </w:t>
      </w:r>
      <w:r w:rsidRPr="00B00AC0">
        <w:rPr>
          <w:rFonts w:ascii="Arial" w:hAnsi="Arial" w:cs="Arial"/>
          <w:sz w:val="22"/>
          <w:szCs w:val="22"/>
        </w:rPr>
        <w:lastRenderedPageBreak/>
        <w:t>inversiones se pondrán a disposición del regante sistemas de riego más eficientes para poder cumplir así con los requerimientos de reducción de la presión de extracciones establecidos por la autoridad competente en materia de planificación hidrológica. Se apoyarán inversiones en explotaciones agrarias e industrias agroalimentarias tendentes a la reutilización y valorización de residuos, avanzando hacia una economía circular; a la introducción de tecnologías digitales en los procesos y a la adopción de planes de mejora de la eficiencia energética, todas ellas para reducir el uso de insumos y el impacto en el medio. Se reforzarán los medios del Estado para el control de las actividades pesqueras y para la conservación de los ecosistemas marinos, así como para la investigación y la formación en materia de recursos marinos.</w:t>
      </w:r>
    </w:p>
    <w:p w:rsidR="00412A34" w:rsidRPr="00B00AC0" w:rsidRDefault="00412A34"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En el ámbito del sector pesquero, el Plan busca dar un impulso a la sostenibilidad, investigación, innovación y digitalización del sector pesquero facilitando una mejor gestión pesquera y contribuyendo a situar a la flota española, en niveles avanzados en aspectos como el digital, tecnológico y ecológico. Apoya la transición ecológica en el sector y contribuye al impulso a la economía circular en este sector y a la economía azul, favoreciendo el desarrollo de las comunidades del litoral y su sostenibilidad económica y social.</w:t>
      </w:r>
    </w:p>
    <w:p w:rsidR="00412A34" w:rsidRPr="00B00AC0" w:rsidRDefault="00412A34"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 xml:space="preserve">En ese sentido, las inversiones planteadas tienen como objetivo favorecer la consecución de las metas establecidas entre otros por Política Agrícola Común, la Política Pesquera Común, la Estrategia de Biodiversidad 2030, la Estrategia de la Granja a la Mesa, así como de los Objetivos de Desarrollo Sostenible establecidos por la Agenda 2030 y los objetivos del Acuerdo de París. </w:t>
      </w:r>
    </w:p>
    <w:p w:rsidR="00412A34" w:rsidRDefault="00412A34"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La gran mayoría de estas inversiones se adaptan especialmente a las recomendaciones específicas de la Comisión para España (</w:t>
      </w:r>
      <w:proofErr w:type="spellStart"/>
      <w:r w:rsidRPr="00B00AC0">
        <w:rPr>
          <w:rFonts w:ascii="Arial" w:hAnsi="Arial" w:cs="Arial"/>
          <w:sz w:val="22"/>
          <w:szCs w:val="22"/>
        </w:rPr>
        <w:t>CSRs</w:t>
      </w:r>
      <w:proofErr w:type="spellEnd"/>
      <w:r w:rsidRPr="00B00AC0">
        <w:rPr>
          <w:rFonts w:ascii="Arial" w:hAnsi="Arial" w:cs="Arial"/>
          <w:sz w:val="22"/>
          <w:szCs w:val="22"/>
        </w:rPr>
        <w:t>) relativas al fomento de la innovación y la eficiencia energética, el mejor uso de los recursos, el respaldo a la recuperación económica, el aprendizaje digital y la transformación ecológica y digital de un sector tan importante para la economía.</w:t>
      </w:r>
    </w:p>
    <w:p w:rsidR="00517824" w:rsidRPr="00B00AC0" w:rsidRDefault="00F906CF" w:rsidP="00F61241">
      <w:pPr>
        <w:spacing w:before="120" w:after="120" w:line="360" w:lineRule="auto"/>
        <w:rPr>
          <w:rFonts w:ascii="Arial" w:hAnsi="Arial" w:cs="Arial"/>
          <w:b/>
          <w:sz w:val="22"/>
          <w:szCs w:val="22"/>
        </w:rPr>
      </w:pPr>
      <w:r>
        <w:rPr>
          <w:rFonts w:ascii="Arial" w:hAnsi="Arial" w:cs="Arial"/>
          <w:b/>
          <w:sz w:val="22"/>
          <w:szCs w:val="22"/>
        </w:rPr>
        <w:t xml:space="preserve">4. </w:t>
      </w:r>
      <w:r w:rsidR="00A236C9">
        <w:rPr>
          <w:rFonts w:ascii="Arial" w:hAnsi="Arial" w:cs="Arial"/>
          <w:b/>
          <w:sz w:val="22"/>
          <w:szCs w:val="22"/>
        </w:rPr>
        <w:t>DESCRIPCIÓN DE LA INVERSIÓN</w:t>
      </w:r>
    </w:p>
    <w:p w:rsidR="00517824" w:rsidRDefault="00DC0CD9"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 xml:space="preserve">Para asegurar el cumplimiento de la Política Pesquera Común se precisa invertir en nuevas tecnologías de cara a mejorar la vigilancia de la actividad pesquera. La viabilidad del sector pesquero en el medio y largo plazo precisa que se asegure su sostenibilidad medioambiental, para lo que una óptima vigilancia de la actividad pesquera, con inversiones en las </w:t>
      </w:r>
      <w:proofErr w:type="spellStart"/>
      <w:r w:rsidRPr="00B00AC0">
        <w:rPr>
          <w:rFonts w:ascii="Arial" w:hAnsi="Arial" w:cs="Arial"/>
          <w:sz w:val="22"/>
          <w:szCs w:val="22"/>
        </w:rPr>
        <w:t>TIC´s</w:t>
      </w:r>
      <w:proofErr w:type="spellEnd"/>
      <w:r w:rsidRPr="00B00AC0">
        <w:rPr>
          <w:rFonts w:ascii="Arial" w:hAnsi="Arial" w:cs="Arial"/>
          <w:sz w:val="22"/>
          <w:szCs w:val="22"/>
        </w:rPr>
        <w:t xml:space="preserve"> más modernas y eficaces, se torna imprescindible.</w:t>
      </w:r>
    </w:p>
    <w:p w:rsidR="00183CC3" w:rsidRPr="00B00AC0" w:rsidRDefault="00183CC3" w:rsidP="00F61241">
      <w:pPr>
        <w:spacing w:before="120" w:after="120" w:line="360" w:lineRule="auto"/>
        <w:ind w:firstLine="708"/>
        <w:jc w:val="both"/>
        <w:rPr>
          <w:rFonts w:ascii="Arial" w:hAnsi="Arial" w:cs="Arial"/>
          <w:sz w:val="22"/>
          <w:szCs w:val="22"/>
        </w:rPr>
      </w:pPr>
      <w:bookmarkStart w:id="0" w:name="_GoBack"/>
      <w:bookmarkEnd w:id="0"/>
    </w:p>
    <w:p w:rsidR="00DC0CD9" w:rsidRDefault="00DC0CD9" w:rsidP="00F61241">
      <w:pPr>
        <w:spacing w:before="120" w:after="120" w:line="360" w:lineRule="auto"/>
        <w:ind w:firstLine="708"/>
        <w:jc w:val="both"/>
        <w:rPr>
          <w:rFonts w:ascii="Arial" w:hAnsi="Arial" w:cs="Arial"/>
          <w:sz w:val="22"/>
          <w:szCs w:val="22"/>
        </w:rPr>
      </w:pPr>
      <w:r w:rsidRPr="00B00AC0">
        <w:rPr>
          <w:rFonts w:ascii="Arial" w:hAnsi="Arial" w:cs="Arial"/>
          <w:sz w:val="22"/>
          <w:szCs w:val="22"/>
        </w:rPr>
        <w:t>Esta inversión se divide en dos líneas de actuación:</w:t>
      </w:r>
    </w:p>
    <w:p w:rsidR="00DC0CD9" w:rsidRPr="00F61241" w:rsidRDefault="00DC0CD9" w:rsidP="00F61241">
      <w:pPr>
        <w:pStyle w:val="Prrafodelista"/>
        <w:numPr>
          <w:ilvl w:val="0"/>
          <w:numId w:val="10"/>
        </w:numPr>
        <w:spacing w:before="120" w:after="120" w:line="360" w:lineRule="auto"/>
        <w:ind w:hanging="294"/>
        <w:jc w:val="both"/>
        <w:rPr>
          <w:rFonts w:ascii="Arial" w:hAnsi="Arial" w:cs="Arial"/>
          <w:sz w:val="22"/>
          <w:szCs w:val="22"/>
        </w:rPr>
      </w:pPr>
      <w:r w:rsidRPr="00F61241">
        <w:rPr>
          <w:rFonts w:ascii="Arial" w:hAnsi="Arial" w:cs="Arial"/>
          <w:sz w:val="22"/>
          <w:szCs w:val="22"/>
        </w:rPr>
        <w:t>Digitalización del sector pesquero y acuícola español.</w:t>
      </w:r>
    </w:p>
    <w:p w:rsidR="00DC0CD9" w:rsidRPr="00640256" w:rsidRDefault="00DC0CD9" w:rsidP="00F61241">
      <w:pPr>
        <w:spacing w:before="120" w:after="120" w:line="360" w:lineRule="auto"/>
        <w:ind w:left="709"/>
        <w:jc w:val="both"/>
        <w:rPr>
          <w:rFonts w:ascii="Arial" w:hAnsi="Arial" w:cs="Arial"/>
          <w:sz w:val="22"/>
          <w:szCs w:val="22"/>
        </w:rPr>
      </w:pPr>
      <w:r w:rsidRPr="00640256">
        <w:rPr>
          <w:rFonts w:ascii="Arial" w:hAnsi="Arial" w:cs="Arial"/>
          <w:sz w:val="22"/>
          <w:szCs w:val="22"/>
        </w:rPr>
        <w:t>Se trata de un Plan de ayudas para la digitalización del sector pesquero y acuícola, con las siguientes líneas de apoyo:</w:t>
      </w:r>
    </w:p>
    <w:p w:rsidR="00DC0CD9" w:rsidRPr="00F61241" w:rsidRDefault="00DC0CD9" w:rsidP="00F61241">
      <w:pPr>
        <w:pStyle w:val="Prrafodelista"/>
        <w:numPr>
          <w:ilvl w:val="0"/>
          <w:numId w:val="12"/>
        </w:numPr>
        <w:spacing w:before="120" w:after="120" w:line="360" w:lineRule="auto"/>
        <w:ind w:left="993" w:hanging="284"/>
        <w:jc w:val="both"/>
        <w:rPr>
          <w:rFonts w:ascii="Arial" w:hAnsi="Arial" w:cs="Arial"/>
          <w:sz w:val="22"/>
          <w:szCs w:val="22"/>
        </w:rPr>
      </w:pPr>
      <w:r w:rsidRPr="00F61241">
        <w:rPr>
          <w:rFonts w:ascii="Arial" w:hAnsi="Arial" w:cs="Arial"/>
          <w:sz w:val="22"/>
          <w:szCs w:val="22"/>
        </w:rPr>
        <w:t>Ayudas para la flota pesquera española de buques de menos de 12 m de dispositivos para el envío electrónico de las capturas y para su geolocalización.</w:t>
      </w:r>
    </w:p>
    <w:p w:rsidR="00DC0CD9" w:rsidRPr="00F61241" w:rsidRDefault="00DC0CD9" w:rsidP="00F61241">
      <w:pPr>
        <w:pStyle w:val="Prrafodelista"/>
        <w:numPr>
          <w:ilvl w:val="0"/>
          <w:numId w:val="12"/>
        </w:numPr>
        <w:spacing w:before="120" w:after="120" w:line="360" w:lineRule="auto"/>
        <w:ind w:left="993" w:hanging="284"/>
        <w:jc w:val="both"/>
        <w:rPr>
          <w:rFonts w:ascii="Arial" w:hAnsi="Arial" w:cs="Arial"/>
          <w:sz w:val="22"/>
          <w:szCs w:val="22"/>
        </w:rPr>
      </w:pPr>
      <w:r w:rsidRPr="00F61241">
        <w:rPr>
          <w:rFonts w:ascii="Arial" w:hAnsi="Arial" w:cs="Arial"/>
          <w:sz w:val="22"/>
          <w:szCs w:val="22"/>
        </w:rPr>
        <w:t>Ayudas para la flota pesquera española de buques mayores de 24 metros para la instalación de un sistema de vigilancia mediante cámaras para la vigilancia remota de pesquerías y la lucha contra los descartes.</w:t>
      </w:r>
    </w:p>
    <w:p w:rsidR="00DC0CD9" w:rsidRPr="00F61241" w:rsidRDefault="00DC0CD9" w:rsidP="00F61241">
      <w:pPr>
        <w:pStyle w:val="Prrafodelista"/>
        <w:numPr>
          <w:ilvl w:val="0"/>
          <w:numId w:val="12"/>
        </w:numPr>
        <w:spacing w:before="120" w:after="120" w:line="360" w:lineRule="auto"/>
        <w:ind w:left="993" w:hanging="284"/>
        <w:jc w:val="both"/>
        <w:rPr>
          <w:rFonts w:ascii="Arial" w:hAnsi="Arial" w:cs="Arial"/>
          <w:sz w:val="22"/>
          <w:szCs w:val="22"/>
        </w:rPr>
      </w:pPr>
      <w:r w:rsidRPr="00F61241">
        <w:rPr>
          <w:rFonts w:ascii="Arial" w:hAnsi="Arial" w:cs="Arial"/>
          <w:sz w:val="22"/>
          <w:szCs w:val="22"/>
        </w:rPr>
        <w:t>Ayudas para actuaciones de digitalización del sector pesquero y acuícola.</w:t>
      </w:r>
    </w:p>
    <w:p w:rsidR="00DC0CD9" w:rsidRPr="00F61241" w:rsidRDefault="00DC0CD9" w:rsidP="00F61241">
      <w:pPr>
        <w:pStyle w:val="Prrafodelista"/>
        <w:numPr>
          <w:ilvl w:val="0"/>
          <w:numId w:val="10"/>
        </w:numPr>
        <w:spacing w:before="120" w:after="120" w:line="360" w:lineRule="auto"/>
        <w:ind w:hanging="294"/>
        <w:jc w:val="both"/>
        <w:rPr>
          <w:rFonts w:ascii="Arial" w:hAnsi="Arial" w:cs="Arial"/>
          <w:sz w:val="22"/>
          <w:szCs w:val="22"/>
        </w:rPr>
      </w:pPr>
      <w:r w:rsidRPr="00F61241">
        <w:rPr>
          <w:rFonts w:ascii="Arial" w:hAnsi="Arial" w:cs="Arial"/>
          <w:sz w:val="22"/>
          <w:szCs w:val="22"/>
        </w:rPr>
        <w:t>TIC´S para vigilancia pesquera.</w:t>
      </w:r>
    </w:p>
    <w:p w:rsidR="00DC0CD9" w:rsidRDefault="00DC0CD9" w:rsidP="00F61241">
      <w:pPr>
        <w:spacing w:before="120" w:after="120" w:line="360" w:lineRule="auto"/>
        <w:ind w:left="709"/>
        <w:jc w:val="both"/>
        <w:rPr>
          <w:rFonts w:ascii="Arial" w:hAnsi="Arial" w:cs="Arial"/>
          <w:sz w:val="22"/>
          <w:szCs w:val="22"/>
        </w:rPr>
      </w:pPr>
      <w:r w:rsidRPr="00B00AC0">
        <w:rPr>
          <w:rFonts w:ascii="Arial" w:hAnsi="Arial" w:cs="Arial"/>
          <w:sz w:val="22"/>
          <w:szCs w:val="22"/>
        </w:rPr>
        <w:t xml:space="preserve">Se creará un sistema de registro de capturas con posibilidad de seguimiento de embarcaciones mediante geolocalización de la flota pesquera española de menos de 12 metros de eslora, así como el establecimiento de un servicio de vuelo de drones para control y vigilancia pesquera y de </w:t>
      </w:r>
      <w:r w:rsidR="00F906CF" w:rsidRPr="00B00AC0">
        <w:rPr>
          <w:rFonts w:ascii="Arial" w:hAnsi="Arial" w:cs="Arial"/>
          <w:sz w:val="22"/>
          <w:szCs w:val="22"/>
        </w:rPr>
        <w:t>un sistema</w:t>
      </w:r>
      <w:r w:rsidRPr="00B00AC0">
        <w:rPr>
          <w:rFonts w:ascii="Arial" w:hAnsi="Arial" w:cs="Arial"/>
          <w:sz w:val="22"/>
          <w:szCs w:val="22"/>
        </w:rPr>
        <w:t xml:space="preserve"> de Vigilancia Remota de las capturas de buques pesqueros mayores de 24 metros. Estas actuaciones precisan, además de un aumento de la capacidad informática, un refuerzo </w:t>
      </w:r>
      <w:r w:rsidR="000220DC">
        <w:rPr>
          <w:rFonts w:ascii="Arial" w:hAnsi="Arial" w:cs="Arial"/>
          <w:sz w:val="22"/>
          <w:szCs w:val="22"/>
        </w:rPr>
        <w:t>i</w:t>
      </w:r>
      <w:r w:rsidR="000220DC" w:rsidRPr="00B00AC0">
        <w:rPr>
          <w:rFonts w:ascii="Arial" w:hAnsi="Arial" w:cs="Arial"/>
          <w:sz w:val="22"/>
          <w:szCs w:val="22"/>
        </w:rPr>
        <w:t xml:space="preserve">nformático </w:t>
      </w:r>
      <w:r w:rsidRPr="00B00AC0">
        <w:rPr>
          <w:rFonts w:ascii="Arial" w:hAnsi="Arial" w:cs="Arial"/>
          <w:sz w:val="22"/>
          <w:szCs w:val="22"/>
        </w:rPr>
        <w:t>de la seguridad del Sistema de Información Pesquero Español (SIPE), a través de la compra de dispositivos y de software.</w:t>
      </w:r>
    </w:p>
    <w:p w:rsidR="00517824" w:rsidRDefault="00517824" w:rsidP="00F61241">
      <w:pPr>
        <w:spacing w:before="120" w:after="120" w:line="360" w:lineRule="auto"/>
        <w:rPr>
          <w:rFonts w:ascii="Arial" w:hAnsi="Arial" w:cs="Arial"/>
          <w:b/>
          <w:sz w:val="22"/>
          <w:szCs w:val="22"/>
        </w:rPr>
      </w:pPr>
      <w:r w:rsidRPr="00B00AC0">
        <w:rPr>
          <w:rFonts w:ascii="Arial" w:hAnsi="Arial" w:cs="Arial"/>
          <w:b/>
          <w:sz w:val="22"/>
          <w:szCs w:val="22"/>
        </w:rPr>
        <w:t xml:space="preserve">5. </w:t>
      </w:r>
      <w:r w:rsidR="00A236C9" w:rsidRPr="00B00AC0">
        <w:rPr>
          <w:rFonts w:ascii="Arial" w:hAnsi="Arial" w:cs="Arial"/>
          <w:b/>
          <w:sz w:val="22"/>
          <w:szCs w:val="22"/>
        </w:rPr>
        <w:t>COSTE DE LA INVE</w:t>
      </w:r>
      <w:r w:rsidR="00A236C9">
        <w:rPr>
          <w:rFonts w:ascii="Arial" w:hAnsi="Arial" w:cs="Arial"/>
          <w:b/>
          <w:sz w:val="22"/>
          <w:szCs w:val="22"/>
        </w:rPr>
        <w:t>RSIÓN Y DISTRIBUCIÓN ANUALIZADA</w:t>
      </w:r>
    </w:p>
    <w:p w:rsidR="00640256" w:rsidRPr="0016058C" w:rsidRDefault="00640256" w:rsidP="00F61241">
      <w:pPr>
        <w:spacing w:before="100"/>
        <w:ind w:left="426" w:right="141"/>
        <w:jc w:val="right"/>
        <w:rPr>
          <w:rFonts w:ascii="Arial" w:hAnsi="Arial" w:cs="Arial"/>
          <w:b/>
          <w:i/>
          <w:sz w:val="18"/>
          <w:szCs w:val="18"/>
        </w:rPr>
      </w:pPr>
      <w:r w:rsidRPr="0016058C">
        <w:rPr>
          <w:rFonts w:ascii="Arial" w:hAnsi="Arial" w:cs="Arial"/>
          <w:b/>
          <w:i/>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25"/>
        <w:gridCol w:w="807"/>
        <w:gridCol w:w="807"/>
        <w:gridCol w:w="806"/>
        <w:gridCol w:w="806"/>
        <w:gridCol w:w="806"/>
        <w:gridCol w:w="806"/>
        <w:gridCol w:w="806"/>
        <w:gridCol w:w="806"/>
      </w:tblGrid>
      <w:tr w:rsidR="00640256" w:rsidRPr="00B94E3B" w:rsidTr="00F61241">
        <w:trPr>
          <w:trHeight w:val="337"/>
          <w:tblHeader/>
          <w:jc w:val="center"/>
        </w:trPr>
        <w:tc>
          <w:tcPr>
            <w:tcW w:w="2379" w:type="dxa"/>
            <w:vAlign w:val="center"/>
          </w:tcPr>
          <w:p w:rsidR="00640256" w:rsidRPr="00F61241" w:rsidRDefault="00640256" w:rsidP="00F61241">
            <w:pPr>
              <w:spacing w:before="120" w:after="120"/>
              <w:ind w:left="31"/>
              <w:jc w:val="center"/>
              <w:rPr>
                <w:rFonts w:ascii="Arial" w:hAnsi="Arial" w:cs="Arial"/>
                <w:b/>
                <w:caps/>
                <w:sz w:val="18"/>
                <w:szCs w:val="18"/>
              </w:rPr>
            </w:pPr>
            <w:r w:rsidRPr="00F61241">
              <w:rPr>
                <w:rFonts w:ascii="Arial" w:hAnsi="Arial" w:cs="Arial"/>
                <w:b/>
                <w:caps/>
                <w:sz w:val="18"/>
                <w:szCs w:val="18"/>
              </w:rPr>
              <w:t>Periodificación</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2020</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2021</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2022</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2023</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2024</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2025</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2026</w:t>
            </w:r>
          </w:p>
        </w:tc>
        <w:tc>
          <w:tcPr>
            <w:tcW w:w="851" w:type="dxa"/>
            <w:vAlign w:val="center"/>
          </w:tcPr>
          <w:p w:rsidR="00640256" w:rsidRPr="00B94E3B" w:rsidRDefault="00640256" w:rsidP="00F61241">
            <w:pPr>
              <w:spacing w:before="120" w:after="120"/>
              <w:ind w:left="-83"/>
              <w:jc w:val="center"/>
              <w:rPr>
                <w:rFonts w:ascii="Arial" w:hAnsi="Arial" w:cs="Arial"/>
                <w:b/>
                <w:sz w:val="18"/>
                <w:szCs w:val="18"/>
              </w:rPr>
            </w:pPr>
            <w:r w:rsidRPr="00B94E3B">
              <w:rPr>
                <w:rFonts w:ascii="Arial" w:hAnsi="Arial" w:cs="Arial"/>
                <w:b/>
                <w:sz w:val="18"/>
                <w:szCs w:val="18"/>
              </w:rPr>
              <w:t>Total</w:t>
            </w:r>
          </w:p>
        </w:tc>
      </w:tr>
      <w:tr w:rsidR="00640256" w:rsidRPr="00B94E3B" w:rsidTr="00F61241">
        <w:trPr>
          <w:trHeight w:hRule="exact" w:val="340"/>
          <w:jc w:val="center"/>
        </w:trPr>
        <w:tc>
          <w:tcPr>
            <w:tcW w:w="2379" w:type="dxa"/>
            <w:vAlign w:val="center"/>
          </w:tcPr>
          <w:p w:rsidR="00640256" w:rsidRPr="00F61241" w:rsidRDefault="00640256" w:rsidP="00F61241">
            <w:pPr>
              <w:spacing w:before="60" w:after="60"/>
              <w:ind w:left="31"/>
              <w:rPr>
                <w:rFonts w:ascii="Arial" w:hAnsi="Arial" w:cs="Arial"/>
                <w:sz w:val="18"/>
                <w:szCs w:val="18"/>
              </w:rPr>
            </w:pPr>
            <w:r w:rsidRPr="00F61241">
              <w:rPr>
                <w:rFonts w:ascii="Arial" w:hAnsi="Arial" w:cs="Arial"/>
                <w:sz w:val="18"/>
                <w:szCs w:val="18"/>
              </w:rPr>
              <w:t>Coste del Mecanismo</w:t>
            </w:r>
          </w:p>
        </w:tc>
        <w:tc>
          <w:tcPr>
            <w:tcW w:w="851" w:type="dxa"/>
            <w:vAlign w:val="center"/>
          </w:tcPr>
          <w:p w:rsidR="00640256" w:rsidRPr="00B94E3B" w:rsidRDefault="00640256" w:rsidP="00F61241">
            <w:pPr>
              <w:spacing w:before="60" w:after="60"/>
              <w:ind w:left="-83"/>
              <w:jc w:val="right"/>
              <w:rPr>
                <w:rFonts w:ascii="Arial" w:hAnsi="Arial" w:cs="Arial"/>
                <w:sz w:val="18"/>
                <w:szCs w:val="18"/>
              </w:rPr>
            </w:pPr>
            <w:r w:rsidRPr="00B94E3B">
              <w:rPr>
                <w:rFonts w:ascii="Arial" w:hAnsi="Arial" w:cs="Arial"/>
                <w:sz w:val="18"/>
                <w:szCs w:val="18"/>
              </w:rPr>
              <w:fldChar w:fldCharType="begin">
                <w:ffData>
                  <w:name w:val=""/>
                  <w:enabled/>
                  <w:calcOnExit w:val="0"/>
                  <w:textInput>
                    <w:type w:val="number"/>
                  </w:textInput>
                </w:ffData>
              </w:fldChar>
            </w:r>
            <w:r w:rsidRPr="00B94E3B">
              <w:rPr>
                <w:rFonts w:ascii="Arial" w:hAnsi="Arial" w:cs="Arial"/>
                <w:sz w:val="18"/>
                <w:szCs w:val="18"/>
              </w:rPr>
              <w:instrText xml:space="preserve"> FORMTEXT </w:instrText>
            </w:r>
            <w:r w:rsidRPr="00B94E3B">
              <w:rPr>
                <w:rFonts w:ascii="Arial" w:hAnsi="Arial" w:cs="Arial"/>
                <w:sz w:val="18"/>
                <w:szCs w:val="18"/>
              </w:rPr>
            </w:r>
            <w:r w:rsidRPr="00B94E3B">
              <w:rPr>
                <w:rFonts w:ascii="Arial" w:hAnsi="Arial" w:cs="Arial"/>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sz w:val="18"/>
                <w:szCs w:val="18"/>
              </w:rPr>
              <w:fldChar w:fldCharType="end"/>
            </w: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r w:rsidRPr="00DF0215">
              <w:rPr>
                <w:rFonts w:ascii="Arial" w:hAnsi="Arial" w:cs="Arial"/>
                <w:color w:val="000000" w:themeColor="text1"/>
                <w:sz w:val="18"/>
                <w:szCs w:val="18"/>
              </w:rPr>
              <w:t>3.000</w:t>
            </w: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r w:rsidRPr="00DF0215">
              <w:rPr>
                <w:rFonts w:ascii="Arial" w:hAnsi="Arial" w:cs="Arial"/>
                <w:sz w:val="18"/>
                <w:szCs w:val="18"/>
              </w:rPr>
              <w:t>4.000</w:t>
            </w: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r w:rsidRPr="00DF0215">
              <w:rPr>
                <w:rFonts w:ascii="Arial" w:hAnsi="Arial" w:cs="Arial"/>
                <w:sz w:val="18"/>
                <w:szCs w:val="18"/>
              </w:rPr>
              <w:t>4.000</w:t>
            </w: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r w:rsidRPr="004019E5">
              <w:rPr>
                <w:rFonts w:ascii="Arial" w:hAnsi="Arial" w:cs="Arial"/>
                <w:b/>
                <w:sz w:val="18"/>
                <w:szCs w:val="18"/>
              </w:rPr>
              <w:t>11.000</w:t>
            </w:r>
          </w:p>
        </w:tc>
      </w:tr>
      <w:tr w:rsidR="00640256" w:rsidRPr="00B94E3B" w:rsidTr="00F61241">
        <w:trPr>
          <w:trHeight w:hRule="exact" w:val="340"/>
          <w:jc w:val="center"/>
        </w:trPr>
        <w:tc>
          <w:tcPr>
            <w:tcW w:w="2379" w:type="dxa"/>
            <w:vAlign w:val="center"/>
          </w:tcPr>
          <w:p w:rsidR="00640256" w:rsidRPr="00F61241" w:rsidRDefault="00640256" w:rsidP="00F61241">
            <w:pPr>
              <w:spacing w:before="60" w:after="60"/>
              <w:ind w:left="31"/>
              <w:rPr>
                <w:rFonts w:ascii="Arial" w:hAnsi="Arial" w:cs="Arial"/>
                <w:sz w:val="18"/>
                <w:szCs w:val="18"/>
              </w:rPr>
            </w:pPr>
            <w:r w:rsidRPr="00F61241">
              <w:rPr>
                <w:rFonts w:ascii="Arial" w:hAnsi="Arial" w:cs="Arial"/>
                <w:sz w:val="18"/>
                <w:szCs w:val="18"/>
              </w:rPr>
              <w:t>Otra financiación</w:t>
            </w: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B94E3B" w:rsidRDefault="00640256" w:rsidP="00F61241">
            <w:pPr>
              <w:spacing w:before="60" w:after="60"/>
              <w:ind w:left="-83"/>
              <w:jc w:val="right"/>
              <w:rPr>
                <w:rFonts w:ascii="Arial" w:hAnsi="Arial" w:cs="Arial"/>
                <w:noProof/>
                <w:sz w:val="18"/>
                <w:szCs w:val="18"/>
              </w:rPr>
            </w:pP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p>
        </w:tc>
      </w:tr>
      <w:tr w:rsidR="00640256" w:rsidRPr="004019E5" w:rsidTr="00F61241">
        <w:trPr>
          <w:trHeight w:hRule="exact" w:val="340"/>
          <w:jc w:val="center"/>
        </w:trPr>
        <w:tc>
          <w:tcPr>
            <w:tcW w:w="2379" w:type="dxa"/>
            <w:vAlign w:val="center"/>
          </w:tcPr>
          <w:p w:rsidR="00640256" w:rsidRPr="004019E5" w:rsidRDefault="00640256" w:rsidP="00F61241">
            <w:pPr>
              <w:spacing w:before="60" w:after="60"/>
              <w:ind w:left="31"/>
              <w:rPr>
                <w:rFonts w:ascii="Arial" w:hAnsi="Arial" w:cs="Arial"/>
                <w:b/>
                <w:sz w:val="18"/>
                <w:szCs w:val="18"/>
              </w:rPr>
            </w:pPr>
            <w:r w:rsidRPr="004019E5">
              <w:rPr>
                <w:rFonts w:ascii="Arial" w:hAnsi="Arial" w:cs="Arial"/>
                <w:b/>
                <w:sz w:val="18"/>
                <w:szCs w:val="18"/>
              </w:rPr>
              <w:t>Total</w:t>
            </w: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r w:rsidRPr="004019E5">
              <w:rPr>
                <w:rFonts w:ascii="Arial" w:hAnsi="Arial" w:cs="Arial"/>
                <w:b/>
                <w:noProof/>
                <w:sz w:val="18"/>
                <w:szCs w:val="18"/>
              </w:rPr>
              <w:fldChar w:fldCharType="begin">
                <w:ffData>
                  <w:name w:val=""/>
                  <w:enabled/>
                  <w:calcOnExit w:val="0"/>
                  <w:textInput>
                    <w:type w:val="number"/>
                  </w:textInput>
                </w:ffData>
              </w:fldChar>
            </w:r>
            <w:r w:rsidRPr="004019E5">
              <w:rPr>
                <w:rFonts w:ascii="Arial" w:hAnsi="Arial" w:cs="Arial"/>
                <w:b/>
                <w:noProof/>
                <w:sz w:val="18"/>
                <w:szCs w:val="18"/>
              </w:rPr>
              <w:instrText xml:space="preserve"> FORMTEXT </w:instrText>
            </w:r>
            <w:r w:rsidRPr="004019E5">
              <w:rPr>
                <w:rFonts w:ascii="Arial" w:hAnsi="Arial" w:cs="Arial"/>
                <w:b/>
                <w:noProof/>
                <w:sz w:val="18"/>
                <w:szCs w:val="18"/>
              </w:rPr>
            </w:r>
            <w:r w:rsidRPr="004019E5">
              <w:rPr>
                <w:rFonts w:ascii="Arial" w:hAnsi="Arial" w:cs="Arial"/>
                <w:b/>
                <w:noProof/>
                <w:sz w:val="18"/>
                <w:szCs w:val="18"/>
              </w:rPr>
              <w:fldChar w:fldCharType="separate"/>
            </w:r>
            <w:r w:rsidRPr="004019E5">
              <w:rPr>
                <w:rFonts w:ascii="Arial" w:hAnsi="Arial" w:cs="Arial"/>
                <w:b/>
                <w:noProof/>
                <w:sz w:val="18"/>
                <w:szCs w:val="18"/>
              </w:rPr>
              <w:t> </w:t>
            </w:r>
            <w:r w:rsidRPr="004019E5">
              <w:rPr>
                <w:rFonts w:ascii="Arial" w:hAnsi="Arial" w:cs="Arial"/>
                <w:b/>
                <w:noProof/>
                <w:sz w:val="18"/>
                <w:szCs w:val="18"/>
              </w:rPr>
              <w:t> </w:t>
            </w:r>
            <w:r w:rsidRPr="004019E5">
              <w:rPr>
                <w:rFonts w:ascii="Arial" w:hAnsi="Arial" w:cs="Arial"/>
                <w:b/>
                <w:noProof/>
                <w:sz w:val="18"/>
                <w:szCs w:val="18"/>
              </w:rPr>
              <w:t> </w:t>
            </w:r>
            <w:r w:rsidRPr="004019E5">
              <w:rPr>
                <w:rFonts w:ascii="Arial" w:hAnsi="Arial" w:cs="Arial"/>
                <w:b/>
                <w:noProof/>
                <w:sz w:val="18"/>
                <w:szCs w:val="18"/>
              </w:rPr>
              <w:t> </w:t>
            </w:r>
            <w:r w:rsidRPr="004019E5">
              <w:rPr>
                <w:rFonts w:ascii="Arial" w:hAnsi="Arial" w:cs="Arial"/>
                <w:b/>
                <w:noProof/>
                <w:sz w:val="18"/>
                <w:szCs w:val="18"/>
              </w:rPr>
              <w:t> </w:t>
            </w:r>
            <w:r w:rsidRPr="004019E5">
              <w:rPr>
                <w:rFonts w:ascii="Arial" w:hAnsi="Arial" w:cs="Arial"/>
                <w:b/>
                <w:noProof/>
                <w:sz w:val="18"/>
                <w:szCs w:val="18"/>
              </w:rPr>
              <w:fldChar w:fldCharType="end"/>
            </w: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r w:rsidRPr="004019E5">
              <w:rPr>
                <w:rFonts w:ascii="Arial" w:hAnsi="Arial" w:cs="Arial"/>
                <w:b/>
                <w:sz w:val="18"/>
                <w:szCs w:val="18"/>
              </w:rPr>
              <w:t>3.000</w:t>
            </w: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r w:rsidRPr="004019E5">
              <w:rPr>
                <w:rFonts w:ascii="Arial" w:hAnsi="Arial" w:cs="Arial"/>
                <w:b/>
                <w:sz w:val="18"/>
                <w:szCs w:val="18"/>
              </w:rPr>
              <w:t>4.000</w:t>
            </w: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r w:rsidRPr="004019E5">
              <w:rPr>
                <w:rFonts w:ascii="Arial" w:hAnsi="Arial" w:cs="Arial"/>
                <w:b/>
                <w:sz w:val="18"/>
                <w:szCs w:val="18"/>
              </w:rPr>
              <w:t>4.000</w:t>
            </w: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p>
        </w:tc>
        <w:tc>
          <w:tcPr>
            <w:tcW w:w="851" w:type="dxa"/>
            <w:vAlign w:val="center"/>
          </w:tcPr>
          <w:p w:rsidR="00640256" w:rsidRPr="004019E5" w:rsidRDefault="00640256" w:rsidP="00F61241">
            <w:pPr>
              <w:spacing w:before="60" w:after="60"/>
              <w:ind w:left="-83"/>
              <w:jc w:val="right"/>
              <w:rPr>
                <w:rFonts w:ascii="Arial" w:hAnsi="Arial" w:cs="Arial"/>
                <w:b/>
                <w:noProof/>
                <w:sz w:val="18"/>
                <w:szCs w:val="18"/>
              </w:rPr>
            </w:pPr>
            <w:r w:rsidRPr="004019E5">
              <w:rPr>
                <w:rFonts w:ascii="Arial" w:hAnsi="Arial" w:cs="Arial"/>
                <w:b/>
                <w:sz w:val="18"/>
                <w:szCs w:val="18"/>
              </w:rPr>
              <w:t>11.000</w:t>
            </w:r>
          </w:p>
        </w:tc>
      </w:tr>
    </w:tbl>
    <w:p w:rsidR="00517824" w:rsidRPr="00B00AC0" w:rsidRDefault="00517824" w:rsidP="00F61241">
      <w:pPr>
        <w:spacing w:before="240" w:after="120" w:line="360" w:lineRule="auto"/>
        <w:rPr>
          <w:rFonts w:ascii="Arial" w:hAnsi="Arial" w:cs="Arial"/>
          <w:b/>
          <w:sz w:val="22"/>
          <w:szCs w:val="22"/>
        </w:rPr>
      </w:pPr>
      <w:r w:rsidRPr="00B00AC0">
        <w:rPr>
          <w:rFonts w:ascii="Arial" w:hAnsi="Arial" w:cs="Arial"/>
          <w:b/>
          <w:sz w:val="22"/>
          <w:szCs w:val="22"/>
        </w:rPr>
        <w:t xml:space="preserve">6. </w:t>
      </w:r>
      <w:r w:rsidR="00A236C9" w:rsidRPr="00B00AC0">
        <w:rPr>
          <w:rFonts w:ascii="Arial" w:hAnsi="Arial" w:cs="Arial"/>
          <w:b/>
          <w:sz w:val="22"/>
          <w:szCs w:val="22"/>
        </w:rPr>
        <w:t>HI</w:t>
      </w:r>
      <w:r w:rsidR="00A236C9">
        <w:rPr>
          <w:rFonts w:ascii="Arial" w:hAnsi="Arial" w:cs="Arial"/>
          <w:b/>
          <w:sz w:val="22"/>
          <w:szCs w:val="22"/>
        </w:rPr>
        <w:t>TOS Y OBJETIVOS DE LA INVERSIÓN</w:t>
      </w:r>
      <w:r w:rsidR="00A236C9" w:rsidRPr="00B00AC0">
        <w:rPr>
          <w:rFonts w:ascii="Arial" w:hAnsi="Arial" w:cs="Arial"/>
          <w:b/>
          <w:sz w:val="22"/>
          <w:szCs w:val="22"/>
        </w:rPr>
        <w:t xml:space="preserve"> </w:t>
      </w:r>
    </w:p>
    <w:p w:rsidR="00DC0CD9" w:rsidRDefault="000A12F1" w:rsidP="00F61241">
      <w:pPr>
        <w:spacing w:before="120" w:after="120" w:line="360" w:lineRule="auto"/>
        <w:ind w:firstLine="708"/>
        <w:jc w:val="both"/>
        <w:rPr>
          <w:rFonts w:ascii="Arial" w:hAnsi="Arial" w:cs="Arial"/>
          <w:sz w:val="22"/>
          <w:szCs w:val="22"/>
        </w:rPr>
      </w:pPr>
      <w:r>
        <w:rPr>
          <w:rFonts w:ascii="Arial" w:hAnsi="Arial" w:cs="Arial"/>
          <w:sz w:val="22"/>
          <w:szCs w:val="22"/>
        </w:rPr>
        <w:t>H</w:t>
      </w:r>
      <w:r w:rsidR="0034667E">
        <w:rPr>
          <w:rFonts w:ascii="Arial" w:hAnsi="Arial" w:cs="Arial"/>
          <w:sz w:val="22"/>
          <w:szCs w:val="22"/>
        </w:rPr>
        <w:t xml:space="preserve">ito: </w:t>
      </w:r>
      <w:r w:rsidR="00DC0CD9" w:rsidRPr="00B00AC0">
        <w:rPr>
          <w:rFonts w:ascii="Arial" w:hAnsi="Arial" w:cs="Arial"/>
          <w:sz w:val="22"/>
          <w:szCs w:val="22"/>
        </w:rPr>
        <w:t>Refuerzo informático de la información y vigilancia pesqueras, inclui</w:t>
      </w:r>
      <w:r w:rsidR="00F906CF">
        <w:rPr>
          <w:rFonts w:ascii="Arial" w:hAnsi="Arial" w:cs="Arial"/>
          <w:sz w:val="22"/>
          <w:szCs w:val="22"/>
        </w:rPr>
        <w:t xml:space="preserve">da la instalación de un segundo </w:t>
      </w:r>
      <w:r w:rsidR="00DC0CD9" w:rsidRPr="00B00AC0">
        <w:rPr>
          <w:rFonts w:ascii="Arial" w:hAnsi="Arial" w:cs="Arial"/>
          <w:sz w:val="22"/>
          <w:szCs w:val="22"/>
        </w:rPr>
        <w:t>cortafuegos para aumentar la seguridad del SIPE, siguiendo los requisitos establecidos en el sistema nacional de seguridad</w:t>
      </w:r>
      <w:r w:rsidR="000220DC">
        <w:rPr>
          <w:rFonts w:ascii="Arial" w:hAnsi="Arial" w:cs="Arial"/>
          <w:sz w:val="22"/>
          <w:szCs w:val="22"/>
        </w:rPr>
        <w:t>,</w:t>
      </w:r>
      <w:r w:rsidR="00DC0CD9" w:rsidRPr="00B00AC0">
        <w:rPr>
          <w:rFonts w:ascii="Arial" w:hAnsi="Arial" w:cs="Arial"/>
          <w:sz w:val="22"/>
          <w:szCs w:val="22"/>
        </w:rPr>
        <w:t xml:space="preserve"> para lograr un nivel de seguridad alto, y la digitalización de los buques pesqueros.</w:t>
      </w:r>
      <w:r w:rsidR="0034667E">
        <w:rPr>
          <w:rFonts w:ascii="Arial" w:hAnsi="Arial" w:cs="Arial"/>
          <w:sz w:val="22"/>
          <w:szCs w:val="22"/>
        </w:rPr>
        <w:t xml:space="preserve"> Cuarto trimestre de 2023.</w:t>
      </w:r>
    </w:p>
    <w:p w:rsidR="0034667E" w:rsidRPr="00B00AC0" w:rsidRDefault="0034667E" w:rsidP="00F61241">
      <w:pPr>
        <w:spacing w:before="120" w:after="120" w:line="360" w:lineRule="auto"/>
        <w:jc w:val="both"/>
        <w:rPr>
          <w:rFonts w:ascii="Arial" w:hAnsi="Arial" w:cs="Arial"/>
          <w:sz w:val="22"/>
          <w:szCs w:val="22"/>
        </w:rPr>
      </w:pPr>
      <w:r>
        <w:rPr>
          <w:rFonts w:ascii="Arial" w:hAnsi="Arial" w:cs="Arial"/>
          <w:sz w:val="22"/>
          <w:szCs w:val="22"/>
        </w:rPr>
        <w:t>Desarrollo del Hito</w:t>
      </w:r>
    </w:p>
    <w:p w:rsidR="00DC0CD9" w:rsidRPr="00B00AC0" w:rsidRDefault="00DC0CD9" w:rsidP="00F61241">
      <w:pPr>
        <w:numPr>
          <w:ilvl w:val="0"/>
          <w:numId w:val="9"/>
        </w:numPr>
        <w:spacing w:before="120" w:after="120" w:line="360" w:lineRule="auto"/>
        <w:ind w:left="738" w:hanging="312"/>
        <w:jc w:val="both"/>
        <w:rPr>
          <w:rFonts w:ascii="Arial" w:eastAsia="Arial" w:hAnsi="Arial" w:cs="Arial"/>
          <w:b/>
          <w:iCs/>
          <w:sz w:val="22"/>
          <w:szCs w:val="22"/>
          <w:lang w:val="es-ES" w:eastAsia="en-US"/>
        </w:rPr>
      </w:pPr>
      <w:r w:rsidRPr="00B00AC0">
        <w:rPr>
          <w:rFonts w:ascii="Arial" w:eastAsia="Arial" w:hAnsi="Arial" w:cs="Arial"/>
          <w:b/>
          <w:iCs/>
          <w:sz w:val="22"/>
          <w:szCs w:val="22"/>
          <w:lang w:val="es-ES" w:eastAsia="en-US"/>
        </w:rPr>
        <w:t>Digitalización del sector pesquero y acuícola español.</w:t>
      </w:r>
    </w:p>
    <w:p w:rsidR="00DC0CD9" w:rsidRPr="00640256" w:rsidRDefault="00DC0CD9" w:rsidP="00F61241">
      <w:pPr>
        <w:spacing w:before="120" w:after="120" w:line="360" w:lineRule="auto"/>
        <w:ind w:left="708"/>
        <w:jc w:val="both"/>
        <w:rPr>
          <w:rFonts w:ascii="Arial" w:eastAsia="Arial" w:hAnsi="Arial" w:cs="Arial"/>
          <w:sz w:val="22"/>
          <w:szCs w:val="22"/>
          <w:lang w:eastAsia="en-US"/>
        </w:rPr>
      </w:pPr>
      <w:r w:rsidRPr="00F53BB4">
        <w:rPr>
          <w:rFonts w:ascii="Arial" w:eastAsia="Arial" w:hAnsi="Arial" w:cs="Arial"/>
          <w:sz w:val="22"/>
          <w:szCs w:val="22"/>
          <w:lang w:eastAsia="en-US"/>
        </w:rPr>
        <w:t>Meta</w:t>
      </w:r>
      <w:r w:rsidRPr="00640256">
        <w:rPr>
          <w:rFonts w:ascii="Arial" w:eastAsia="Arial" w:hAnsi="Arial" w:cs="Arial"/>
          <w:sz w:val="22"/>
          <w:szCs w:val="22"/>
          <w:lang w:eastAsia="en-US"/>
        </w:rPr>
        <w:t>: Digitalización de buques pesqueros. Q3-2023</w:t>
      </w:r>
    </w:p>
    <w:p w:rsidR="00DC0CD9" w:rsidRPr="00640256" w:rsidRDefault="00DC0CD9" w:rsidP="00F61241">
      <w:pPr>
        <w:numPr>
          <w:ilvl w:val="0"/>
          <w:numId w:val="9"/>
        </w:numPr>
        <w:spacing w:before="120" w:after="120" w:line="360" w:lineRule="auto"/>
        <w:ind w:left="738" w:hanging="312"/>
        <w:jc w:val="both"/>
        <w:rPr>
          <w:rFonts w:ascii="Arial" w:eastAsia="Arial" w:hAnsi="Arial" w:cs="Arial"/>
          <w:b/>
          <w:iCs/>
          <w:sz w:val="22"/>
          <w:szCs w:val="22"/>
          <w:lang w:val="es-ES" w:eastAsia="en-US"/>
        </w:rPr>
      </w:pPr>
      <w:r w:rsidRPr="00640256">
        <w:rPr>
          <w:rFonts w:ascii="Arial" w:eastAsia="Arial" w:hAnsi="Arial" w:cs="Arial"/>
          <w:b/>
          <w:iCs/>
          <w:sz w:val="22"/>
          <w:szCs w:val="22"/>
          <w:lang w:val="es-ES" w:eastAsia="en-US"/>
        </w:rPr>
        <w:t xml:space="preserve">TIC´S para vigilancia pesquera. </w:t>
      </w:r>
    </w:p>
    <w:p w:rsidR="00DC0CD9" w:rsidRPr="00640256" w:rsidRDefault="00DC0CD9" w:rsidP="00F61241">
      <w:pPr>
        <w:spacing w:before="120" w:after="120" w:line="360" w:lineRule="auto"/>
        <w:ind w:left="708"/>
        <w:jc w:val="both"/>
        <w:rPr>
          <w:rFonts w:ascii="Arial" w:eastAsia="Arial" w:hAnsi="Arial" w:cs="Arial"/>
          <w:sz w:val="22"/>
          <w:szCs w:val="22"/>
          <w:lang w:eastAsia="en-US"/>
        </w:rPr>
      </w:pPr>
      <w:r w:rsidRPr="00F53BB4">
        <w:rPr>
          <w:rFonts w:ascii="Arial" w:eastAsia="Arial" w:hAnsi="Arial" w:cs="Arial"/>
          <w:iCs/>
          <w:sz w:val="22"/>
          <w:szCs w:val="22"/>
          <w:lang w:eastAsia="en-US"/>
        </w:rPr>
        <w:t>Hito 1:</w:t>
      </w:r>
      <w:r w:rsidRPr="00640256">
        <w:rPr>
          <w:rFonts w:ascii="Arial" w:eastAsia="Arial" w:hAnsi="Arial" w:cs="Arial"/>
          <w:iCs/>
          <w:sz w:val="22"/>
          <w:szCs w:val="22"/>
          <w:lang w:eastAsia="en-US"/>
        </w:rPr>
        <w:t xml:space="preserve"> </w:t>
      </w:r>
      <w:r w:rsidRPr="00640256">
        <w:rPr>
          <w:rFonts w:ascii="Arial" w:eastAsia="Arial" w:hAnsi="Arial" w:cs="Arial"/>
          <w:sz w:val="22"/>
          <w:szCs w:val="22"/>
          <w:lang w:eastAsia="en-US"/>
        </w:rPr>
        <w:t xml:space="preserve">Disponibilidad del servicio de vuelo de drones para control y vigilancia pesquera: Q3-2021. </w:t>
      </w:r>
    </w:p>
    <w:p w:rsidR="00DC0CD9" w:rsidRPr="00640256" w:rsidRDefault="00DC0CD9" w:rsidP="00F61241">
      <w:pPr>
        <w:spacing w:before="120" w:after="120" w:line="360" w:lineRule="auto"/>
        <w:ind w:left="708"/>
        <w:jc w:val="both"/>
        <w:rPr>
          <w:rFonts w:ascii="Arial" w:eastAsia="Arial" w:hAnsi="Arial" w:cs="Arial"/>
          <w:sz w:val="22"/>
          <w:szCs w:val="22"/>
          <w:lang w:eastAsia="en-US"/>
        </w:rPr>
      </w:pPr>
      <w:r w:rsidRPr="00F53BB4">
        <w:rPr>
          <w:rFonts w:ascii="Arial" w:eastAsia="Arial" w:hAnsi="Arial" w:cs="Arial"/>
          <w:iCs/>
          <w:sz w:val="22"/>
          <w:szCs w:val="22"/>
          <w:lang w:eastAsia="en-US"/>
        </w:rPr>
        <w:t>Hito 2:</w:t>
      </w:r>
      <w:r w:rsidRPr="00640256">
        <w:rPr>
          <w:rFonts w:ascii="Arial" w:eastAsia="Arial" w:hAnsi="Arial" w:cs="Arial"/>
          <w:iCs/>
          <w:sz w:val="22"/>
          <w:szCs w:val="22"/>
          <w:lang w:eastAsia="en-US"/>
        </w:rPr>
        <w:t xml:space="preserve"> </w:t>
      </w:r>
      <w:r w:rsidRPr="00640256">
        <w:rPr>
          <w:rFonts w:ascii="Arial" w:eastAsia="Arial" w:hAnsi="Arial" w:cs="Arial"/>
          <w:sz w:val="22"/>
          <w:szCs w:val="22"/>
          <w:lang w:eastAsia="en-US"/>
        </w:rPr>
        <w:t>Nueva App de sistema de Registro de capturas con posibilidad de seguimiento de la embarcación mediante geolocalización de la flota pesquera española de menos de 12 metros de eslora. Q4-2021</w:t>
      </w:r>
      <w:r w:rsidR="000220DC">
        <w:rPr>
          <w:rFonts w:ascii="Arial" w:eastAsia="Arial" w:hAnsi="Arial" w:cs="Arial"/>
          <w:sz w:val="22"/>
          <w:szCs w:val="22"/>
          <w:lang w:eastAsia="en-US"/>
        </w:rPr>
        <w:t>.</w:t>
      </w:r>
    </w:p>
    <w:p w:rsidR="00DC0CD9" w:rsidRPr="00640256" w:rsidRDefault="00DC0CD9" w:rsidP="00F61241">
      <w:pPr>
        <w:spacing w:before="120" w:after="120" w:line="360" w:lineRule="auto"/>
        <w:ind w:left="708"/>
        <w:jc w:val="both"/>
        <w:rPr>
          <w:rFonts w:ascii="Arial" w:eastAsia="Arial" w:hAnsi="Arial" w:cs="Arial"/>
          <w:sz w:val="22"/>
          <w:szCs w:val="22"/>
          <w:lang w:eastAsia="en-US"/>
        </w:rPr>
      </w:pPr>
      <w:r w:rsidRPr="00F53BB4">
        <w:rPr>
          <w:rFonts w:ascii="Arial" w:eastAsia="Arial" w:hAnsi="Arial" w:cs="Arial"/>
          <w:iCs/>
          <w:sz w:val="22"/>
          <w:szCs w:val="22"/>
          <w:lang w:eastAsia="en-US"/>
        </w:rPr>
        <w:t>Hito 3:</w:t>
      </w:r>
      <w:r w:rsidRPr="00640256">
        <w:rPr>
          <w:rFonts w:ascii="Arial" w:eastAsia="Arial" w:hAnsi="Arial" w:cs="Arial"/>
          <w:iCs/>
          <w:sz w:val="22"/>
          <w:szCs w:val="22"/>
          <w:lang w:eastAsia="en-US"/>
        </w:rPr>
        <w:t xml:space="preserve"> </w:t>
      </w:r>
      <w:r w:rsidRPr="00640256">
        <w:rPr>
          <w:rFonts w:ascii="Arial" w:eastAsia="Arial" w:hAnsi="Arial" w:cs="Arial"/>
          <w:sz w:val="22"/>
          <w:szCs w:val="22"/>
          <w:lang w:eastAsia="en-US"/>
        </w:rPr>
        <w:t>Sistema de Vigilancia Remota de las capturas de buques pesqueros mayores de 24 metros. Q4-2023.</w:t>
      </w:r>
    </w:p>
    <w:p w:rsidR="00DC0CD9" w:rsidRPr="00640256" w:rsidRDefault="00DC0CD9" w:rsidP="00F61241">
      <w:pPr>
        <w:spacing w:before="120" w:after="120" w:line="360" w:lineRule="auto"/>
        <w:ind w:left="708"/>
        <w:jc w:val="both"/>
        <w:rPr>
          <w:rFonts w:ascii="Arial" w:hAnsi="Arial" w:cs="Arial"/>
          <w:sz w:val="22"/>
          <w:szCs w:val="22"/>
        </w:rPr>
      </w:pPr>
      <w:r w:rsidRPr="00F53BB4">
        <w:rPr>
          <w:rFonts w:ascii="Arial" w:eastAsia="Arial" w:hAnsi="Arial" w:cs="Arial"/>
          <w:sz w:val="22"/>
          <w:szCs w:val="22"/>
          <w:lang w:eastAsia="en-US"/>
        </w:rPr>
        <w:t>Meta</w:t>
      </w:r>
      <w:r w:rsidRPr="00640256">
        <w:rPr>
          <w:rFonts w:ascii="Arial" w:eastAsia="Arial" w:hAnsi="Arial" w:cs="Arial"/>
          <w:sz w:val="22"/>
          <w:szCs w:val="22"/>
          <w:lang w:eastAsia="en-US"/>
        </w:rPr>
        <w:t>: Refuerzo informático de la seguridad del Sistema de Información Pesquero Español (SIPE). Q4-2023</w:t>
      </w:r>
      <w:r w:rsidR="00A236C9" w:rsidRPr="00640256">
        <w:rPr>
          <w:rFonts w:ascii="Arial" w:eastAsia="Arial" w:hAnsi="Arial" w:cs="Arial"/>
          <w:sz w:val="22"/>
          <w:szCs w:val="22"/>
          <w:lang w:eastAsia="en-US"/>
        </w:rPr>
        <w:t>.</w:t>
      </w:r>
    </w:p>
    <w:sectPr w:rsidR="00DC0CD9" w:rsidRPr="00640256" w:rsidSect="00F61241">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B4FFB"/>
    <w:multiLevelType w:val="hybridMultilevel"/>
    <w:tmpl w:val="37C4B5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DE111E2"/>
    <w:multiLevelType w:val="hybridMultilevel"/>
    <w:tmpl w:val="708C1A1A"/>
    <w:lvl w:ilvl="0" w:tplc="8FCCE968">
      <w:start w:val="1"/>
      <w:numFmt w:val="bullet"/>
      <w:lvlText w:val="-"/>
      <w:lvlJc w:val="left"/>
      <w:pPr>
        <w:ind w:left="1068" w:hanging="360"/>
      </w:pPr>
      <w:rPr>
        <w:rFonts w:ascii="Calibri" w:eastAsia="Arial"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F0953B0"/>
    <w:multiLevelType w:val="hybridMultilevel"/>
    <w:tmpl w:val="6C7E78F4"/>
    <w:lvl w:ilvl="0" w:tplc="1B82C0AE">
      <w:start w:val="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43536D5"/>
    <w:multiLevelType w:val="hybridMultilevel"/>
    <w:tmpl w:val="91A4EC7A"/>
    <w:lvl w:ilvl="0" w:tplc="8FCCE968">
      <w:start w:val="1"/>
      <w:numFmt w:val="bullet"/>
      <w:lvlText w:val="-"/>
      <w:lvlJc w:val="left"/>
      <w:pPr>
        <w:ind w:left="1068" w:hanging="360"/>
      </w:pPr>
      <w:rPr>
        <w:rFonts w:ascii="Calibri" w:eastAsia="Arial"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 w15:restartNumberingAfterBreak="0">
    <w:nsid w:val="2E0A6D1D"/>
    <w:multiLevelType w:val="hybridMultilevel"/>
    <w:tmpl w:val="574A19FC"/>
    <w:lvl w:ilvl="0" w:tplc="F19459FA">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EAD69D8"/>
    <w:multiLevelType w:val="hybridMultilevel"/>
    <w:tmpl w:val="B1CC94DC"/>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689702E"/>
    <w:multiLevelType w:val="hybridMultilevel"/>
    <w:tmpl w:val="C1C888CA"/>
    <w:lvl w:ilvl="0" w:tplc="1A24239E">
      <w:start w:val="2"/>
      <w:numFmt w:val="low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3F567CB0"/>
    <w:multiLevelType w:val="hybridMultilevel"/>
    <w:tmpl w:val="2B327DF2"/>
    <w:lvl w:ilvl="0" w:tplc="0C0A0001">
      <w:start w:val="1"/>
      <w:numFmt w:val="bullet"/>
      <w:lvlText w:val=""/>
      <w:lvlJc w:val="left"/>
      <w:pPr>
        <w:ind w:left="1080" w:hanging="72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F1D5BB9"/>
    <w:multiLevelType w:val="multilevel"/>
    <w:tmpl w:val="2E502A48"/>
    <w:lvl w:ilvl="0">
      <w:start w:val="2"/>
      <w:numFmt w:val="decimal"/>
      <w:lvlText w:val="%1."/>
      <w:lvlJc w:val="left"/>
      <w:pPr>
        <w:ind w:left="360" w:hanging="36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09178A8"/>
    <w:multiLevelType w:val="hybridMultilevel"/>
    <w:tmpl w:val="E0641ECC"/>
    <w:lvl w:ilvl="0" w:tplc="4C444434">
      <w:start w:val="1"/>
      <w:numFmt w:val="lowerRoman"/>
      <w:lvlText w:val="%1."/>
      <w:lvlJc w:val="left"/>
      <w:pPr>
        <w:ind w:left="1428" w:hanging="7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9"/>
  </w:num>
  <w:num w:numId="5">
    <w:abstractNumId w:val="1"/>
  </w:num>
  <w:num w:numId="6">
    <w:abstractNumId w:val="4"/>
  </w:num>
  <w:num w:numId="7">
    <w:abstractNumId w:val="7"/>
  </w:num>
  <w:num w:numId="8">
    <w:abstractNumId w:val="11"/>
  </w:num>
  <w:num w:numId="9">
    <w:abstractNumId w:val="8"/>
  </w:num>
  <w:num w:numId="10">
    <w:abstractNumId w:val="0"/>
  </w:num>
  <w:num w:numId="11">
    <w:abstractNumId w:val="5"/>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220DC"/>
    <w:rsid w:val="00062AE0"/>
    <w:rsid w:val="00080CFF"/>
    <w:rsid w:val="000A12F1"/>
    <w:rsid w:val="000A1311"/>
    <w:rsid w:val="000B6242"/>
    <w:rsid w:val="000C68A4"/>
    <w:rsid w:val="000F3FBB"/>
    <w:rsid w:val="00135F61"/>
    <w:rsid w:val="00183CC3"/>
    <w:rsid w:val="001953F8"/>
    <w:rsid w:val="001A5F87"/>
    <w:rsid w:val="001B34B9"/>
    <w:rsid w:val="001B4A4B"/>
    <w:rsid w:val="00271DAC"/>
    <w:rsid w:val="002F0C59"/>
    <w:rsid w:val="003154A2"/>
    <w:rsid w:val="003208C4"/>
    <w:rsid w:val="00343745"/>
    <w:rsid w:val="0034667E"/>
    <w:rsid w:val="00382F6E"/>
    <w:rsid w:val="003A7E9B"/>
    <w:rsid w:val="003D56D8"/>
    <w:rsid w:val="004019E5"/>
    <w:rsid w:val="00412A34"/>
    <w:rsid w:val="0046397C"/>
    <w:rsid w:val="00492B8A"/>
    <w:rsid w:val="00517824"/>
    <w:rsid w:val="00564761"/>
    <w:rsid w:val="005B477A"/>
    <w:rsid w:val="005C4BF4"/>
    <w:rsid w:val="00620996"/>
    <w:rsid w:val="00640256"/>
    <w:rsid w:val="006F018F"/>
    <w:rsid w:val="0076333E"/>
    <w:rsid w:val="007B6373"/>
    <w:rsid w:val="007E37FC"/>
    <w:rsid w:val="007E4B9F"/>
    <w:rsid w:val="007F3B1F"/>
    <w:rsid w:val="008076C5"/>
    <w:rsid w:val="008476C0"/>
    <w:rsid w:val="008537F7"/>
    <w:rsid w:val="008620A4"/>
    <w:rsid w:val="008B3CA0"/>
    <w:rsid w:val="008B6C42"/>
    <w:rsid w:val="008D6462"/>
    <w:rsid w:val="008F0C79"/>
    <w:rsid w:val="0093453B"/>
    <w:rsid w:val="009354E3"/>
    <w:rsid w:val="00947093"/>
    <w:rsid w:val="00952F88"/>
    <w:rsid w:val="00991697"/>
    <w:rsid w:val="009961E4"/>
    <w:rsid w:val="009A64D7"/>
    <w:rsid w:val="009A7074"/>
    <w:rsid w:val="009B5B6C"/>
    <w:rsid w:val="00A06941"/>
    <w:rsid w:val="00A236C9"/>
    <w:rsid w:val="00A32DF7"/>
    <w:rsid w:val="00A44DEA"/>
    <w:rsid w:val="00A9503D"/>
    <w:rsid w:val="00AE318F"/>
    <w:rsid w:val="00B00AC0"/>
    <w:rsid w:val="00B10415"/>
    <w:rsid w:val="00B30BB6"/>
    <w:rsid w:val="00B6769D"/>
    <w:rsid w:val="00B7333B"/>
    <w:rsid w:val="00B80D92"/>
    <w:rsid w:val="00BB543A"/>
    <w:rsid w:val="00BB64BC"/>
    <w:rsid w:val="00BE5B5A"/>
    <w:rsid w:val="00C17263"/>
    <w:rsid w:val="00C235E9"/>
    <w:rsid w:val="00C673DF"/>
    <w:rsid w:val="00C87CB2"/>
    <w:rsid w:val="00CA5DBC"/>
    <w:rsid w:val="00CB75ED"/>
    <w:rsid w:val="00CD0B16"/>
    <w:rsid w:val="00D46D8D"/>
    <w:rsid w:val="00D8168F"/>
    <w:rsid w:val="00DC0CD9"/>
    <w:rsid w:val="00ED092E"/>
    <w:rsid w:val="00F53BB4"/>
    <w:rsid w:val="00F61241"/>
    <w:rsid w:val="00F71287"/>
    <w:rsid w:val="00F906CF"/>
    <w:rsid w:val="00F913C4"/>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34E95"/>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 - cat,Bullet"/>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Párrafo de lista - cat Car,Bullet Car"/>
    <w:link w:val="Prrafodelista"/>
    <w:uiPriority w:val="34"/>
    <w:locked/>
    <w:rsid w:val="009354E3"/>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2226077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9630-6A3C-45A6-9749-61F3D30A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1154</Words>
  <Characters>6376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6</cp:revision>
  <cp:lastPrinted>2021-09-27T08:07:00Z</cp:lastPrinted>
  <dcterms:created xsi:type="dcterms:W3CDTF">2022-01-11T11:53:00Z</dcterms:created>
  <dcterms:modified xsi:type="dcterms:W3CDTF">2022-01-18T17:48:00Z</dcterms:modified>
</cp:coreProperties>
</file>